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A1B8" w14:textId="22648E5D" w:rsidR="000967E8" w:rsidRPr="00F336D2" w:rsidRDefault="00AA4582" w:rsidP="000967E8">
      <w:pPr>
        <w:spacing w:after="200" w:line="276" w:lineRule="auto"/>
        <w:jc w:val="center"/>
        <w:rPr>
          <w:rFonts w:ascii="Arial" w:eastAsiaTheme="minorEastAsia" w:hAnsi="Arial" w:cs="Arial"/>
          <w:b/>
          <w:color w:val="FF0000"/>
          <w:sz w:val="28"/>
          <w:szCs w:val="28"/>
          <w:u w:val="single"/>
          <w:lang w:eastAsia="en-GB"/>
        </w:rPr>
      </w:pPr>
      <w:r>
        <w:rPr>
          <w:noProof/>
        </w:rPr>
        <w:drawing>
          <wp:inline distT="0" distB="0" distL="0" distR="0" wp14:anchorId="26AA0FCE" wp14:editId="75E41FF3">
            <wp:extent cx="5731510" cy="14128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412875"/>
                    </a:xfrm>
                    <a:prstGeom prst="rect">
                      <a:avLst/>
                    </a:prstGeom>
                    <a:noFill/>
                    <a:ln>
                      <a:noFill/>
                    </a:ln>
                  </pic:spPr>
                </pic:pic>
              </a:graphicData>
            </a:graphic>
          </wp:inline>
        </w:drawing>
      </w:r>
      <w:r w:rsidRPr="00F336D2">
        <w:rPr>
          <w:rFonts w:ascii="Arial" w:eastAsiaTheme="minorEastAsia" w:hAnsi="Arial" w:cs="Arial"/>
          <w:b/>
          <w:color w:val="FF0000"/>
          <w:sz w:val="28"/>
          <w:szCs w:val="28"/>
          <w:u w:val="single"/>
          <w:lang w:eastAsia="en-GB"/>
        </w:rPr>
        <w:t xml:space="preserve"> </w:t>
      </w:r>
    </w:p>
    <w:p w14:paraId="6BCA0687" w14:textId="77777777"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40695E75"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25597A42" w14:textId="292A75CF"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1AB94DB3" w14:textId="77777777" w:rsidR="00AA4582" w:rsidRDefault="00AA4582" w:rsidP="00AA4582">
      <w:pPr>
        <w:rPr>
          <w:rFonts w:ascii="Arial" w:hAnsi="Arial" w:cs="Arial"/>
        </w:rPr>
      </w:pPr>
      <w:r>
        <w:rPr>
          <w:rFonts w:ascii="Arial" w:hAnsi="Arial" w:cs="Arial"/>
        </w:rPr>
        <w:t>The initial complaint should be addressed to one of the following individuals:</w:t>
      </w:r>
    </w:p>
    <w:p w14:paraId="51E67AC8" w14:textId="77777777" w:rsidR="00AA4582" w:rsidRDefault="00AA4582" w:rsidP="00AA4582">
      <w:pPr>
        <w:ind w:left="720"/>
        <w:rPr>
          <w:rFonts w:ascii="Arial" w:hAnsi="Arial" w:cs="Arial"/>
        </w:rPr>
      </w:pPr>
    </w:p>
    <w:p w14:paraId="255B4AB0" w14:textId="77777777" w:rsidR="00667172" w:rsidRDefault="00AA4582" w:rsidP="00667172">
      <w:pPr>
        <w:rPr>
          <w:rFonts w:ascii="Arial" w:hAnsi="Arial" w:cs="Arial"/>
        </w:rPr>
      </w:pPr>
      <w:r>
        <w:rPr>
          <w:rFonts w:ascii="Arial" w:hAnsi="Arial" w:cs="Arial"/>
          <w:b/>
        </w:rPr>
        <w:t>Jonathan P. Ashton, MNAEA</w:t>
      </w:r>
      <w:r>
        <w:rPr>
          <w:rFonts w:ascii="Arial" w:hAnsi="Arial" w:cs="Arial"/>
        </w:rPr>
        <w:t xml:space="preserve"> (Director)</w:t>
      </w:r>
      <w:r w:rsidR="00667172">
        <w:rPr>
          <w:rFonts w:ascii="Arial" w:hAnsi="Arial" w:cs="Arial"/>
        </w:rPr>
        <w:t xml:space="preserve"> or </w:t>
      </w:r>
      <w:r w:rsidR="00667172">
        <w:rPr>
          <w:rFonts w:ascii="Arial" w:hAnsi="Arial" w:cs="Arial"/>
          <w:b/>
        </w:rPr>
        <w:t>Thomas G. Russell, MARLA</w:t>
      </w:r>
      <w:r w:rsidR="00667172">
        <w:rPr>
          <w:rFonts w:ascii="Arial" w:hAnsi="Arial" w:cs="Arial"/>
        </w:rPr>
        <w:t xml:space="preserve"> (Director)</w:t>
      </w:r>
    </w:p>
    <w:p w14:paraId="2C6C2E84" w14:textId="77777777" w:rsidR="00667172" w:rsidRDefault="00AA4582" w:rsidP="00AA4582">
      <w:pPr>
        <w:rPr>
          <w:rFonts w:ascii="Arial" w:hAnsi="Arial" w:cs="Arial"/>
        </w:rPr>
      </w:pPr>
      <w:r>
        <w:rPr>
          <w:rFonts w:ascii="Arial" w:hAnsi="Arial" w:cs="Arial"/>
        </w:rPr>
        <w:t>Bennett Jones Partnership</w:t>
      </w:r>
    </w:p>
    <w:p w14:paraId="30F17171" w14:textId="77777777" w:rsidR="00667172" w:rsidRDefault="00AA4582" w:rsidP="00AA4582">
      <w:pPr>
        <w:rPr>
          <w:rFonts w:ascii="Arial" w:hAnsi="Arial" w:cs="Arial"/>
        </w:rPr>
      </w:pPr>
      <w:r>
        <w:rPr>
          <w:rFonts w:ascii="Arial" w:hAnsi="Arial" w:cs="Arial"/>
        </w:rPr>
        <w:t>31 Parsonage Street</w:t>
      </w:r>
    </w:p>
    <w:p w14:paraId="1122A086" w14:textId="77777777" w:rsidR="00667172" w:rsidRDefault="00AA4582" w:rsidP="00AA4582">
      <w:pPr>
        <w:rPr>
          <w:rFonts w:ascii="Arial" w:hAnsi="Arial" w:cs="Arial"/>
        </w:rPr>
      </w:pPr>
      <w:r>
        <w:rPr>
          <w:rFonts w:ascii="Arial" w:hAnsi="Arial" w:cs="Arial"/>
        </w:rPr>
        <w:t>Dursley</w:t>
      </w:r>
    </w:p>
    <w:p w14:paraId="56D5C458" w14:textId="7874DE30" w:rsidR="00AA4582" w:rsidRDefault="00AA4582" w:rsidP="00AA4582">
      <w:pPr>
        <w:rPr>
          <w:rFonts w:ascii="Arial" w:hAnsi="Arial" w:cs="Arial"/>
        </w:rPr>
      </w:pPr>
      <w:r>
        <w:rPr>
          <w:rFonts w:ascii="Arial" w:hAnsi="Arial" w:cs="Arial"/>
        </w:rPr>
        <w:t>GL11 4BW</w:t>
      </w:r>
    </w:p>
    <w:p w14:paraId="0AD974F7" w14:textId="5FD20BD9" w:rsidR="00667172" w:rsidRDefault="00AA4582" w:rsidP="00AA4582">
      <w:pPr>
        <w:rPr>
          <w:rFonts w:ascii="Arial" w:hAnsi="Arial" w:cs="Arial"/>
        </w:rPr>
      </w:pPr>
      <w:r>
        <w:rPr>
          <w:rFonts w:ascii="Arial" w:hAnsi="Arial" w:cs="Arial"/>
        </w:rPr>
        <w:t>Telephone:  01453</w:t>
      </w:r>
      <w:r w:rsidR="00667172">
        <w:rPr>
          <w:rFonts w:ascii="Arial" w:hAnsi="Arial" w:cs="Arial"/>
        </w:rPr>
        <w:t xml:space="preserve"> </w:t>
      </w:r>
      <w:r>
        <w:rPr>
          <w:rFonts w:ascii="Arial" w:hAnsi="Arial" w:cs="Arial"/>
        </w:rPr>
        <w:t>544500</w:t>
      </w:r>
    </w:p>
    <w:p w14:paraId="0892DCB8" w14:textId="3AFD5E71" w:rsidR="00AA4582" w:rsidRDefault="00667172" w:rsidP="00AA4582">
      <w:pPr>
        <w:rPr>
          <w:rFonts w:ascii="Arial" w:hAnsi="Arial" w:cs="Arial"/>
        </w:rPr>
      </w:pPr>
      <w:r>
        <w:rPr>
          <w:rFonts w:ascii="Arial" w:hAnsi="Arial" w:cs="Arial"/>
        </w:rPr>
        <w:t>E-mail:</w:t>
      </w:r>
      <w:r w:rsidR="00AA4582">
        <w:rPr>
          <w:rFonts w:ascii="Arial" w:hAnsi="Arial" w:cs="Arial"/>
        </w:rPr>
        <w:t xml:space="preserve"> </w:t>
      </w:r>
      <w:hyperlink r:id="rId6" w:history="1">
        <w:r w:rsidRPr="00A609A8">
          <w:rPr>
            <w:rStyle w:val="Hyperlink"/>
            <w:rFonts w:ascii="Arial" w:hAnsi="Arial" w:cs="Arial"/>
          </w:rPr>
          <w:t>jon.ashton@bennettjones.co.uk</w:t>
        </w:r>
      </w:hyperlink>
      <w:r>
        <w:rPr>
          <w:rFonts w:ascii="Arial" w:hAnsi="Arial" w:cs="Arial"/>
        </w:rPr>
        <w:t xml:space="preserve"> or </w:t>
      </w:r>
      <w:hyperlink r:id="rId7" w:history="1">
        <w:r w:rsidRPr="00A609A8">
          <w:rPr>
            <w:rStyle w:val="Hyperlink"/>
            <w:rFonts w:ascii="Arial" w:hAnsi="Arial" w:cs="Arial"/>
          </w:rPr>
          <w:t>t.russell@bennettjones.co.uk</w:t>
        </w:r>
      </w:hyperlink>
    </w:p>
    <w:p w14:paraId="7EDC6686" w14:textId="77777777" w:rsidR="00667172" w:rsidRDefault="00667172" w:rsidP="000967E8">
      <w:pPr>
        <w:spacing w:after="200" w:line="276" w:lineRule="auto"/>
        <w:jc w:val="both"/>
        <w:rPr>
          <w:rFonts w:ascii="Arial" w:eastAsiaTheme="minorEastAsia" w:hAnsi="Arial" w:cs="Arial"/>
          <w:lang w:eastAsia="en-GB"/>
        </w:rPr>
      </w:pPr>
    </w:p>
    <w:p w14:paraId="74B401F3" w14:textId="459BA381"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38BBCE86" w14:textId="1C421C80"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w:t>
      </w:r>
      <w:r w:rsidR="00482C84">
        <w:rPr>
          <w:rFonts w:ascii="Arial" w:eastAsiaTheme="minorEastAsia" w:hAnsi="Arial" w:cs="Arial"/>
          <w:lang w:eastAsia="en-GB"/>
        </w:rPr>
        <w:t>r</w:t>
      </w:r>
      <w:r w:rsidRPr="000967E8">
        <w:rPr>
          <w:rFonts w:ascii="Arial" w:eastAsiaTheme="minorEastAsia" w:hAnsi="Arial" w:cs="Arial"/>
          <w:lang w:eastAsia="en-GB"/>
        </w:rPr>
        <w:t xml:space="preserve"> complaint within three working days of receiving it, enclosing a copy of this </w:t>
      </w:r>
      <w:proofErr w:type="gramStart"/>
      <w:r w:rsidRPr="000967E8">
        <w:rPr>
          <w:rFonts w:ascii="Arial" w:eastAsiaTheme="minorEastAsia" w:hAnsi="Arial" w:cs="Arial"/>
          <w:lang w:eastAsia="en-GB"/>
        </w:rPr>
        <w:t>procedure.</w:t>
      </w:r>
      <w:r w:rsidR="00667172">
        <w:rPr>
          <w:rFonts w:ascii="Arial" w:eastAsiaTheme="minorEastAsia" w:hAnsi="Arial" w:cs="Arial"/>
          <w:lang w:eastAsia="en-GB"/>
        </w:rPr>
        <w:t>*</w:t>
      </w:r>
      <w:proofErr w:type="gramEnd"/>
    </w:p>
    <w:p w14:paraId="17EEBF47"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3D2CBD0B"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785D15F3"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26200C02"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36795E9A"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92F046C" w14:textId="77777777" w:rsidR="00540BCA" w:rsidRPr="000967E8"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0967E8">
        <w:rPr>
          <w:rFonts w:ascii="Arial" w:eastAsiaTheme="minorEastAsia" w:hAnsi="Arial" w:cs="Arial"/>
          <w:lang w:eastAsia="en-GB"/>
        </w:rPr>
        <w:t>We will write to you within 1</w:t>
      </w:r>
      <w:r w:rsidR="000967E8" w:rsidRPr="000967E8">
        <w:rPr>
          <w:rFonts w:ascii="Arial" w:eastAsiaTheme="minorEastAsia" w:hAnsi="Arial" w:cs="Arial"/>
          <w:lang w:eastAsia="en-GB"/>
        </w:rPr>
        <w:t>5</w:t>
      </w:r>
      <w:r w:rsidRPr="000967E8">
        <w:rPr>
          <w:rFonts w:ascii="Arial" w:eastAsiaTheme="minorEastAsia" w:hAnsi="Arial" w:cs="Arial"/>
          <w:lang w:eastAsia="en-GB"/>
        </w:rPr>
        <w:t xml:space="preserve"> working days of receiving your request for a review, confirming our final viewpoint</w:t>
      </w:r>
      <w:r w:rsidR="000967E8">
        <w:rPr>
          <w:rFonts w:ascii="Arial" w:eastAsiaTheme="minorEastAsia" w:hAnsi="Arial" w:cs="Arial"/>
          <w:lang w:eastAsia="en-GB"/>
        </w:rPr>
        <w:t xml:space="preserve"> on the matter</w:t>
      </w:r>
      <w:r w:rsidRPr="000967E8">
        <w:rPr>
          <w:rFonts w:ascii="Arial" w:eastAsiaTheme="minorEastAsia" w:hAnsi="Arial" w:cs="Arial"/>
          <w:lang w:eastAsia="en-GB"/>
        </w:rPr>
        <w:t>.</w:t>
      </w:r>
    </w:p>
    <w:p w14:paraId="070CC296" w14:textId="77777777" w:rsidR="00667172" w:rsidRDefault="00667172" w:rsidP="000967E8">
      <w:pPr>
        <w:spacing w:after="200" w:line="276" w:lineRule="auto"/>
        <w:jc w:val="both"/>
        <w:rPr>
          <w:rFonts w:ascii="Arial" w:eastAsiaTheme="minorEastAsia" w:hAnsi="Arial" w:cs="Arial"/>
          <w:lang w:eastAsia="en-GB"/>
        </w:rPr>
      </w:pPr>
    </w:p>
    <w:p w14:paraId="4BC99234" w14:textId="18260EA6" w:rsidR="000967E8" w:rsidRDefault="000967E8" w:rsidP="000967E8">
      <w:pPr>
        <w:spacing w:after="200" w:line="276" w:lineRule="auto"/>
        <w:jc w:val="both"/>
        <w:rPr>
          <w:rFonts w:ascii="Arial" w:eastAsiaTheme="minorEastAsia" w:hAnsi="Arial" w:cs="Arial"/>
          <w:lang w:eastAsia="en-GB"/>
        </w:rPr>
      </w:pPr>
      <w:r>
        <w:rPr>
          <w:rFonts w:ascii="Arial" w:eastAsiaTheme="minorEastAsia" w:hAnsi="Arial" w:cs="Arial"/>
          <w:lang w:eastAsia="en-GB"/>
        </w:rPr>
        <w:lastRenderedPageBreak/>
        <w:t>If you remain dissatisfied</w:t>
      </w:r>
      <w:r w:rsidR="00540BCA" w:rsidRPr="000967E8">
        <w:rPr>
          <w:rFonts w:ascii="Arial" w:eastAsiaTheme="minorEastAsia" w:hAnsi="Arial" w:cs="Arial"/>
          <w:lang w:eastAsia="en-GB"/>
        </w:rPr>
        <w:t>, you can then contact</w:t>
      </w:r>
      <w:r>
        <w:rPr>
          <w:rFonts w:ascii="Arial" w:eastAsiaTheme="minorEastAsia" w:hAnsi="Arial" w:cs="Arial"/>
          <w:lang w:eastAsia="en-GB"/>
        </w:rPr>
        <w:t xml:space="preserve"> </w:t>
      </w:r>
      <w:r w:rsidRPr="000967E8">
        <w:rPr>
          <w:rFonts w:ascii="Arial" w:eastAsiaTheme="minorEastAsia" w:hAnsi="Arial" w:cs="Arial"/>
          <w:lang w:eastAsia="en-GB"/>
        </w:rPr>
        <w:t xml:space="preserve">The Property Ombudsman </w:t>
      </w:r>
      <w:r>
        <w:rPr>
          <w:rFonts w:ascii="Arial" w:eastAsiaTheme="minorEastAsia" w:hAnsi="Arial" w:cs="Arial"/>
          <w:lang w:eastAsia="en-GB"/>
        </w:rPr>
        <w:t>to request an independent review:</w:t>
      </w:r>
    </w:p>
    <w:p w14:paraId="0EFAAF1C"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The Property Ombudsman Ltd</w:t>
      </w:r>
    </w:p>
    <w:p w14:paraId="421C6CF6"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578CDE26"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43-45 Milford Street</w:t>
      </w:r>
    </w:p>
    <w:p w14:paraId="52334E44"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154E6737"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7BDA5AA8"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02D4C949"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383A9883" w14:textId="77777777" w:rsidR="000967E8" w:rsidRPr="000967E8" w:rsidRDefault="00667172" w:rsidP="000967E8">
      <w:pPr>
        <w:spacing w:after="200"/>
        <w:jc w:val="center"/>
        <w:rPr>
          <w:rFonts w:ascii="Arial" w:eastAsiaTheme="minorEastAsia" w:hAnsi="Arial" w:cs="Arial"/>
          <w:b/>
          <w:lang w:eastAsia="en-GB"/>
        </w:rPr>
      </w:pPr>
      <w:hyperlink r:id="rId8"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3AF9ACC3"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17659726"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181C4F51" w14:textId="77777777" w:rsidR="00667172"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 xml:space="preserve">The Property Ombudsman requires that all complaints are addressed through this in-house </w:t>
      </w:r>
      <w:proofErr w:type="gramStart"/>
      <w:r>
        <w:rPr>
          <w:rFonts w:ascii="Arial" w:eastAsiaTheme="minorEastAsia" w:hAnsi="Arial" w:cs="Arial"/>
          <w:lang w:eastAsia="en-GB"/>
        </w:rPr>
        <w:t>complaints</w:t>
      </w:r>
      <w:proofErr w:type="gramEnd"/>
      <w:r>
        <w:rPr>
          <w:rFonts w:ascii="Arial" w:eastAsiaTheme="minorEastAsia" w:hAnsi="Arial" w:cs="Arial"/>
          <w:lang w:eastAsia="en-GB"/>
        </w:rPr>
        <w:t xml:space="preserve"> procedure, before being submitted for an independent review.</w:t>
      </w:r>
    </w:p>
    <w:p w14:paraId="6FBEBE80" w14:textId="20368668" w:rsidR="00667172" w:rsidRPr="00667172" w:rsidRDefault="00667172" w:rsidP="00667172">
      <w:pPr>
        <w:pStyle w:val="NormalWeb"/>
        <w:rPr>
          <w:rFonts w:ascii="Arial" w:hAnsi="Arial" w:cs="Arial"/>
          <w:sz w:val="22"/>
          <w:szCs w:val="22"/>
        </w:rPr>
      </w:pPr>
      <w:r w:rsidRPr="00667172">
        <w:rPr>
          <w:rFonts w:ascii="Arial" w:hAnsi="Arial" w:cs="Arial"/>
          <w:sz w:val="22"/>
          <w:szCs w:val="22"/>
        </w:rPr>
        <w:t xml:space="preserve">If your complaint concerns our valuation services you should </w:t>
      </w:r>
      <w:proofErr w:type="gramStart"/>
      <w:r w:rsidRPr="00667172">
        <w:rPr>
          <w:rFonts w:ascii="Arial" w:hAnsi="Arial" w:cs="Arial"/>
          <w:sz w:val="22"/>
          <w:szCs w:val="22"/>
        </w:rPr>
        <w:t>contact :</w:t>
      </w:r>
      <w:proofErr w:type="gramEnd"/>
      <w:r w:rsidRPr="00667172">
        <w:rPr>
          <w:rFonts w:ascii="Arial" w:hAnsi="Arial" w:cs="Arial"/>
          <w:sz w:val="22"/>
          <w:szCs w:val="22"/>
        </w:rPr>
        <w:br/>
      </w:r>
      <w:r w:rsidRPr="00667172">
        <w:rPr>
          <w:rFonts w:ascii="Arial" w:hAnsi="Arial" w:cs="Arial"/>
          <w:sz w:val="22"/>
          <w:szCs w:val="22"/>
        </w:rPr>
        <w:br/>
        <w:t>The Centre for Effective Dispute Resolution</w:t>
      </w:r>
      <w:r>
        <w:rPr>
          <w:rFonts w:ascii="Arial" w:hAnsi="Arial" w:cs="Arial"/>
          <w:sz w:val="22"/>
          <w:szCs w:val="22"/>
        </w:rPr>
        <w:t xml:space="preserve">, </w:t>
      </w:r>
      <w:r w:rsidRPr="00667172">
        <w:rPr>
          <w:rFonts w:ascii="Arial" w:hAnsi="Arial" w:cs="Arial"/>
          <w:sz w:val="22"/>
          <w:szCs w:val="22"/>
        </w:rPr>
        <w:t xml:space="preserve">Fleet Street, London, EC4Y 1EU </w:t>
      </w:r>
    </w:p>
    <w:p w14:paraId="2EC4FB92" w14:textId="77777777" w:rsidR="00667172" w:rsidRDefault="00667172" w:rsidP="00667172">
      <w:pPr>
        <w:pStyle w:val="NormalWeb"/>
        <w:rPr>
          <w:rFonts w:ascii="Arial" w:hAnsi="Arial" w:cs="Arial"/>
          <w:sz w:val="22"/>
          <w:szCs w:val="22"/>
        </w:rPr>
      </w:pPr>
      <w:r w:rsidRPr="00667172">
        <w:rPr>
          <w:rFonts w:ascii="Arial" w:hAnsi="Arial" w:cs="Arial"/>
          <w:sz w:val="22"/>
          <w:szCs w:val="22"/>
        </w:rPr>
        <w:t>Telephone: 020 7520 3800</w:t>
      </w:r>
    </w:p>
    <w:p w14:paraId="0C06828A" w14:textId="4670DABA" w:rsidR="00667172" w:rsidRPr="00667172" w:rsidRDefault="00667172" w:rsidP="00667172">
      <w:pPr>
        <w:pStyle w:val="NormalWeb"/>
        <w:rPr>
          <w:rFonts w:ascii="Arial" w:hAnsi="Arial" w:cs="Arial"/>
          <w:sz w:val="22"/>
          <w:szCs w:val="22"/>
        </w:rPr>
      </w:pPr>
      <w:r>
        <w:rPr>
          <w:rFonts w:ascii="Arial" w:hAnsi="Arial" w:cs="Arial"/>
          <w:sz w:val="22"/>
          <w:szCs w:val="22"/>
        </w:rPr>
        <w:t>T</w:t>
      </w:r>
      <w:r w:rsidRPr="00667172">
        <w:rPr>
          <w:rFonts w:ascii="Arial" w:hAnsi="Arial" w:cs="Arial"/>
          <w:sz w:val="22"/>
          <w:szCs w:val="22"/>
        </w:rPr>
        <w:t>hey will conduct a separate review of your complaint and contact you direct to inform you of the conclusion of this review.</w:t>
      </w:r>
    </w:p>
    <w:p w14:paraId="70CAA678" w14:textId="77777777" w:rsidR="00667172" w:rsidRPr="00667172" w:rsidRDefault="00667172" w:rsidP="00667172">
      <w:pPr>
        <w:jc w:val="both"/>
        <w:rPr>
          <w:rFonts w:ascii="Arial" w:hAnsi="Arial" w:cs="Arial"/>
        </w:rPr>
      </w:pPr>
      <w:r w:rsidRPr="00667172">
        <w:rPr>
          <w:rFonts w:ascii="Arial" w:hAnsi="Arial" w:cs="Arial"/>
        </w:rPr>
        <w:t>Bennett Jones Partnership are members of Propertymark as members of both ARLA &amp; NAEA divisions. In cases of any queries Propertymark can be contacted at: -</w:t>
      </w:r>
    </w:p>
    <w:p w14:paraId="29614E98" w14:textId="77777777" w:rsidR="00667172" w:rsidRPr="00667172" w:rsidRDefault="00667172" w:rsidP="00667172">
      <w:pPr>
        <w:ind w:left="720"/>
        <w:jc w:val="both"/>
        <w:rPr>
          <w:rFonts w:ascii="Arial" w:hAnsi="Arial" w:cs="Arial"/>
        </w:rPr>
      </w:pPr>
    </w:p>
    <w:p w14:paraId="1510E095" w14:textId="77777777" w:rsidR="00667172" w:rsidRPr="00667172" w:rsidRDefault="00667172" w:rsidP="00667172">
      <w:pPr>
        <w:jc w:val="both"/>
        <w:rPr>
          <w:rFonts w:ascii="Arial" w:hAnsi="Arial" w:cs="Arial"/>
        </w:rPr>
      </w:pPr>
      <w:r w:rsidRPr="00667172">
        <w:rPr>
          <w:rFonts w:ascii="Arial" w:hAnsi="Arial" w:cs="Arial"/>
        </w:rPr>
        <w:t>Propertymark,</w:t>
      </w:r>
    </w:p>
    <w:p w14:paraId="438472EB" w14:textId="77777777" w:rsidR="00667172" w:rsidRPr="00667172" w:rsidRDefault="00667172" w:rsidP="00667172">
      <w:pPr>
        <w:jc w:val="both"/>
        <w:rPr>
          <w:rFonts w:ascii="Arial" w:hAnsi="Arial" w:cs="Arial"/>
        </w:rPr>
      </w:pPr>
      <w:r w:rsidRPr="00667172">
        <w:rPr>
          <w:rFonts w:ascii="Arial" w:hAnsi="Arial" w:cs="Arial"/>
        </w:rPr>
        <w:t>Arbon House</w:t>
      </w:r>
    </w:p>
    <w:p w14:paraId="4B398374" w14:textId="77777777" w:rsidR="00667172" w:rsidRPr="00667172" w:rsidRDefault="00667172" w:rsidP="00667172">
      <w:pPr>
        <w:jc w:val="both"/>
        <w:rPr>
          <w:rFonts w:ascii="Arial" w:hAnsi="Arial" w:cs="Arial"/>
        </w:rPr>
      </w:pPr>
      <w:r w:rsidRPr="00667172">
        <w:rPr>
          <w:rFonts w:ascii="Arial" w:hAnsi="Arial" w:cs="Arial"/>
        </w:rPr>
        <w:t>6, Tournament Court</w:t>
      </w:r>
    </w:p>
    <w:tbl>
      <w:tblPr>
        <w:tblW w:w="0" w:type="auto"/>
        <w:tblLook w:val="04A0" w:firstRow="1" w:lastRow="0" w:firstColumn="1" w:lastColumn="0" w:noHBand="0" w:noVBand="1"/>
      </w:tblPr>
      <w:tblGrid>
        <w:gridCol w:w="1478"/>
        <w:gridCol w:w="6"/>
      </w:tblGrid>
      <w:tr w:rsidR="00667172" w:rsidRPr="00667172" w14:paraId="36F9D799" w14:textId="77777777" w:rsidTr="00667172">
        <w:tc>
          <w:tcPr>
            <w:tcW w:w="0" w:type="auto"/>
            <w:tcMar>
              <w:top w:w="0" w:type="dxa"/>
              <w:left w:w="0" w:type="dxa"/>
              <w:bottom w:w="0" w:type="dxa"/>
              <w:right w:w="120" w:type="dxa"/>
            </w:tcMar>
            <w:vAlign w:val="center"/>
            <w:hideMark/>
          </w:tcPr>
          <w:p w14:paraId="7874CA0F" w14:textId="71179220" w:rsidR="00667172" w:rsidRPr="00667172" w:rsidRDefault="00667172">
            <w:pPr>
              <w:shd w:val="clear" w:color="auto" w:fill="FFFFFF"/>
              <w:rPr>
                <w:rFonts w:ascii="Arial" w:hAnsi="Arial" w:cs="Arial"/>
              </w:rPr>
            </w:pPr>
            <w:r w:rsidRPr="00667172">
              <w:rPr>
                <w:rFonts w:ascii="Arial" w:hAnsi="Arial" w:cs="Arial"/>
              </w:rPr>
              <w:t>Edgehill Drive</w:t>
            </w:r>
          </w:p>
          <w:p w14:paraId="3378A83F" w14:textId="5A98AE19" w:rsidR="00667172" w:rsidRPr="00667172" w:rsidRDefault="00667172">
            <w:pPr>
              <w:shd w:val="clear" w:color="auto" w:fill="FFFFFF"/>
              <w:rPr>
                <w:rFonts w:ascii="Arial" w:hAnsi="Arial" w:cs="Arial"/>
              </w:rPr>
            </w:pPr>
            <w:r w:rsidRPr="00667172">
              <w:rPr>
                <w:rFonts w:ascii="Arial" w:hAnsi="Arial" w:cs="Arial"/>
              </w:rPr>
              <w:t>Warwick</w:t>
            </w:r>
          </w:p>
          <w:p w14:paraId="36DB4A09" w14:textId="183F684C" w:rsidR="00667172" w:rsidRPr="00667172" w:rsidRDefault="00667172">
            <w:pPr>
              <w:shd w:val="clear" w:color="auto" w:fill="FFFFFF"/>
              <w:rPr>
                <w:rFonts w:ascii="Arial" w:hAnsi="Arial" w:cs="Arial"/>
                <w:color w:val="222222"/>
              </w:rPr>
            </w:pPr>
            <w:r w:rsidRPr="00667172">
              <w:rPr>
                <w:rFonts w:ascii="Arial" w:hAnsi="Arial" w:cs="Arial"/>
              </w:rPr>
              <w:t>CV34 6LG</w:t>
            </w:r>
          </w:p>
        </w:tc>
        <w:tc>
          <w:tcPr>
            <w:tcW w:w="0" w:type="auto"/>
            <w:tcMar>
              <w:top w:w="0" w:type="dxa"/>
              <w:left w:w="0" w:type="dxa"/>
              <w:bottom w:w="0" w:type="dxa"/>
              <w:right w:w="0" w:type="dxa"/>
            </w:tcMar>
            <w:vAlign w:val="center"/>
            <w:hideMark/>
          </w:tcPr>
          <w:p w14:paraId="15B40A3F" w14:textId="77777777" w:rsidR="00667172" w:rsidRPr="00667172" w:rsidRDefault="00667172">
            <w:pPr>
              <w:rPr>
                <w:rFonts w:ascii="Arial" w:hAnsi="Arial" w:cs="Arial"/>
                <w:color w:val="222222"/>
              </w:rPr>
            </w:pPr>
          </w:p>
        </w:tc>
      </w:tr>
      <w:tr w:rsidR="00667172" w:rsidRPr="00667172" w14:paraId="5D3DD20D" w14:textId="77777777" w:rsidTr="00667172">
        <w:tc>
          <w:tcPr>
            <w:tcW w:w="0" w:type="auto"/>
            <w:tcMar>
              <w:top w:w="0" w:type="dxa"/>
              <w:left w:w="0" w:type="dxa"/>
              <w:bottom w:w="0" w:type="dxa"/>
              <w:right w:w="120" w:type="dxa"/>
            </w:tcMar>
            <w:vAlign w:val="center"/>
            <w:hideMark/>
          </w:tcPr>
          <w:p w14:paraId="29D0D1B7" w14:textId="77777777" w:rsidR="00667172" w:rsidRPr="00667172" w:rsidRDefault="00667172">
            <w:pPr>
              <w:rPr>
                <w:lang w:eastAsia="en-GB"/>
              </w:rPr>
            </w:pPr>
          </w:p>
        </w:tc>
        <w:tc>
          <w:tcPr>
            <w:tcW w:w="0" w:type="auto"/>
            <w:tcMar>
              <w:top w:w="0" w:type="dxa"/>
              <w:left w:w="0" w:type="dxa"/>
              <w:bottom w:w="0" w:type="dxa"/>
              <w:right w:w="0" w:type="dxa"/>
            </w:tcMar>
            <w:vAlign w:val="center"/>
            <w:hideMark/>
          </w:tcPr>
          <w:p w14:paraId="4B0A17BF" w14:textId="77777777" w:rsidR="00667172" w:rsidRPr="00667172" w:rsidRDefault="00667172">
            <w:pPr>
              <w:rPr>
                <w:lang w:eastAsia="en-GB"/>
              </w:rPr>
            </w:pPr>
          </w:p>
        </w:tc>
      </w:tr>
      <w:tr w:rsidR="00667172" w:rsidRPr="00667172" w14:paraId="3A589ADA" w14:textId="77777777" w:rsidTr="00667172">
        <w:tc>
          <w:tcPr>
            <w:tcW w:w="0" w:type="auto"/>
            <w:tcMar>
              <w:top w:w="0" w:type="dxa"/>
              <w:left w:w="0" w:type="dxa"/>
              <w:bottom w:w="0" w:type="dxa"/>
              <w:right w:w="120" w:type="dxa"/>
            </w:tcMar>
            <w:vAlign w:val="center"/>
            <w:hideMark/>
          </w:tcPr>
          <w:p w14:paraId="27B02A7F" w14:textId="77777777" w:rsidR="00667172" w:rsidRPr="00667172" w:rsidRDefault="00667172">
            <w:pPr>
              <w:rPr>
                <w:lang w:eastAsia="en-GB"/>
              </w:rPr>
            </w:pPr>
          </w:p>
        </w:tc>
        <w:tc>
          <w:tcPr>
            <w:tcW w:w="0" w:type="auto"/>
            <w:tcMar>
              <w:top w:w="0" w:type="dxa"/>
              <w:left w:w="0" w:type="dxa"/>
              <w:bottom w:w="0" w:type="dxa"/>
              <w:right w:w="0" w:type="dxa"/>
            </w:tcMar>
            <w:vAlign w:val="center"/>
            <w:hideMark/>
          </w:tcPr>
          <w:p w14:paraId="2C5B0196" w14:textId="77777777" w:rsidR="00667172" w:rsidRPr="00667172" w:rsidRDefault="00667172">
            <w:pPr>
              <w:rPr>
                <w:lang w:eastAsia="en-GB"/>
              </w:rPr>
            </w:pPr>
          </w:p>
        </w:tc>
      </w:tr>
      <w:tr w:rsidR="00667172" w:rsidRPr="00667172" w14:paraId="0C141D82" w14:textId="77777777" w:rsidTr="00667172">
        <w:tc>
          <w:tcPr>
            <w:tcW w:w="0" w:type="auto"/>
            <w:tcMar>
              <w:top w:w="0" w:type="dxa"/>
              <w:left w:w="0" w:type="dxa"/>
              <w:bottom w:w="0" w:type="dxa"/>
              <w:right w:w="120" w:type="dxa"/>
            </w:tcMar>
            <w:vAlign w:val="center"/>
            <w:hideMark/>
          </w:tcPr>
          <w:p w14:paraId="74398258" w14:textId="77777777" w:rsidR="00667172" w:rsidRPr="00667172" w:rsidRDefault="00667172">
            <w:pPr>
              <w:rPr>
                <w:lang w:eastAsia="en-GB"/>
              </w:rPr>
            </w:pPr>
          </w:p>
        </w:tc>
        <w:tc>
          <w:tcPr>
            <w:tcW w:w="0" w:type="auto"/>
            <w:tcMar>
              <w:top w:w="0" w:type="dxa"/>
              <w:left w:w="0" w:type="dxa"/>
              <w:bottom w:w="0" w:type="dxa"/>
              <w:right w:w="0" w:type="dxa"/>
            </w:tcMar>
            <w:vAlign w:val="center"/>
            <w:hideMark/>
          </w:tcPr>
          <w:p w14:paraId="5D4A7269" w14:textId="77777777" w:rsidR="00667172" w:rsidRPr="00667172" w:rsidRDefault="00667172">
            <w:pPr>
              <w:rPr>
                <w:lang w:eastAsia="en-GB"/>
              </w:rPr>
            </w:pPr>
          </w:p>
        </w:tc>
      </w:tr>
      <w:tr w:rsidR="00667172" w:rsidRPr="00667172" w14:paraId="12B58B7D" w14:textId="77777777" w:rsidTr="00667172">
        <w:tc>
          <w:tcPr>
            <w:tcW w:w="0" w:type="auto"/>
            <w:tcMar>
              <w:top w:w="0" w:type="dxa"/>
              <w:left w:w="0" w:type="dxa"/>
              <w:bottom w:w="0" w:type="dxa"/>
              <w:right w:w="120" w:type="dxa"/>
            </w:tcMar>
            <w:vAlign w:val="center"/>
            <w:hideMark/>
          </w:tcPr>
          <w:p w14:paraId="7ABCC543" w14:textId="77777777" w:rsidR="00667172" w:rsidRPr="00667172" w:rsidRDefault="00667172">
            <w:pPr>
              <w:rPr>
                <w:lang w:eastAsia="en-GB"/>
              </w:rPr>
            </w:pPr>
          </w:p>
        </w:tc>
        <w:tc>
          <w:tcPr>
            <w:tcW w:w="0" w:type="auto"/>
            <w:tcMar>
              <w:top w:w="0" w:type="dxa"/>
              <w:left w:w="0" w:type="dxa"/>
              <w:bottom w:w="0" w:type="dxa"/>
              <w:right w:w="0" w:type="dxa"/>
            </w:tcMar>
            <w:vAlign w:val="center"/>
            <w:hideMark/>
          </w:tcPr>
          <w:p w14:paraId="36E88EA8" w14:textId="77777777" w:rsidR="00667172" w:rsidRPr="00667172" w:rsidRDefault="00667172">
            <w:pPr>
              <w:rPr>
                <w:lang w:eastAsia="en-GB"/>
              </w:rPr>
            </w:pPr>
          </w:p>
        </w:tc>
      </w:tr>
      <w:tr w:rsidR="00667172" w:rsidRPr="00667172" w14:paraId="58EBD4EA" w14:textId="77777777" w:rsidTr="00667172">
        <w:tc>
          <w:tcPr>
            <w:tcW w:w="0" w:type="auto"/>
            <w:tcMar>
              <w:top w:w="0" w:type="dxa"/>
              <w:left w:w="0" w:type="dxa"/>
              <w:bottom w:w="0" w:type="dxa"/>
              <w:right w:w="120" w:type="dxa"/>
            </w:tcMar>
            <w:vAlign w:val="center"/>
            <w:hideMark/>
          </w:tcPr>
          <w:p w14:paraId="59B506B0" w14:textId="77777777" w:rsidR="00667172" w:rsidRPr="00667172" w:rsidRDefault="00667172">
            <w:pPr>
              <w:rPr>
                <w:lang w:eastAsia="en-GB"/>
              </w:rPr>
            </w:pPr>
          </w:p>
        </w:tc>
        <w:tc>
          <w:tcPr>
            <w:tcW w:w="0" w:type="auto"/>
            <w:tcMar>
              <w:top w:w="0" w:type="dxa"/>
              <w:left w:w="0" w:type="dxa"/>
              <w:bottom w:w="0" w:type="dxa"/>
              <w:right w:w="0" w:type="dxa"/>
            </w:tcMar>
            <w:vAlign w:val="center"/>
            <w:hideMark/>
          </w:tcPr>
          <w:p w14:paraId="10CE6455" w14:textId="77777777" w:rsidR="00667172" w:rsidRPr="00667172" w:rsidRDefault="00667172">
            <w:pPr>
              <w:rPr>
                <w:lang w:eastAsia="en-GB"/>
              </w:rPr>
            </w:pPr>
          </w:p>
        </w:tc>
      </w:tr>
      <w:tr w:rsidR="00667172" w:rsidRPr="00667172" w14:paraId="38116631" w14:textId="77777777" w:rsidTr="00667172">
        <w:tc>
          <w:tcPr>
            <w:tcW w:w="0" w:type="auto"/>
            <w:tcMar>
              <w:top w:w="0" w:type="dxa"/>
              <w:left w:w="0" w:type="dxa"/>
              <w:bottom w:w="0" w:type="dxa"/>
              <w:right w:w="120" w:type="dxa"/>
            </w:tcMar>
            <w:vAlign w:val="center"/>
            <w:hideMark/>
          </w:tcPr>
          <w:p w14:paraId="6A53EC26" w14:textId="77777777" w:rsidR="00667172" w:rsidRPr="00667172" w:rsidRDefault="00667172">
            <w:pPr>
              <w:rPr>
                <w:lang w:eastAsia="en-GB"/>
              </w:rPr>
            </w:pPr>
          </w:p>
        </w:tc>
        <w:tc>
          <w:tcPr>
            <w:tcW w:w="0" w:type="auto"/>
            <w:tcMar>
              <w:top w:w="0" w:type="dxa"/>
              <w:left w:w="0" w:type="dxa"/>
              <w:bottom w:w="0" w:type="dxa"/>
              <w:right w:w="0" w:type="dxa"/>
            </w:tcMar>
            <w:vAlign w:val="center"/>
            <w:hideMark/>
          </w:tcPr>
          <w:p w14:paraId="30975129" w14:textId="77777777" w:rsidR="00667172" w:rsidRPr="00667172" w:rsidRDefault="00667172">
            <w:pPr>
              <w:rPr>
                <w:lang w:eastAsia="en-GB"/>
              </w:rPr>
            </w:pPr>
          </w:p>
        </w:tc>
      </w:tr>
    </w:tbl>
    <w:p w14:paraId="0E8A268B" w14:textId="77777777" w:rsidR="00667172" w:rsidRPr="00667172" w:rsidRDefault="00667172" w:rsidP="00667172">
      <w:pPr>
        <w:shd w:val="clear" w:color="auto" w:fill="FFFFFF"/>
        <w:rPr>
          <w:rStyle w:val="lrzxr"/>
          <w:rFonts w:ascii="Arial" w:hAnsi="Arial" w:cs="Arial"/>
          <w:color w:val="222222"/>
        </w:rPr>
      </w:pPr>
      <w:r w:rsidRPr="00667172">
        <w:rPr>
          <w:rStyle w:val="lrzxr"/>
          <w:rFonts w:ascii="Arial" w:hAnsi="Arial" w:cs="Arial"/>
          <w:color w:val="222222"/>
        </w:rPr>
        <w:t xml:space="preserve">             </w:t>
      </w:r>
    </w:p>
    <w:p w14:paraId="64F55392" w14:textId="5BEBF37A" w:rsidR="00667172" w:rsidRPr="00667172" w:rsidRDefault="00667172" w:rsidP="00667172">
      <w:pPr>
        <w:shd w:val="clear" w:color="auto" w:fill="FFFFFF"/>
        <w:rPr>
          <w:rStyle w:val="lrzxr"/>
          <w:rFonts w:ascii="Arial" w:hAnsi="Arial" w:cs="Arial"/>
          <w:color w:val="222222"/>
        </w:rPr>
      </w:pPr>
      <w:r w:rsidRPr="00667172">
        <w:rPr>
          <w:rStyle w:val="lrzxr"/>
          <w:rFonts w:ascii="Arial" w:hAnsi="Arial" w:cs="Arial"/>
          <w:color w:val="222222"/>
        </w:rPr>
        <w:t>Telephone: 01926 496800</w:t>
      </w:r>
    </w:p>
    <w:p w14:paraId="32940745" w14:textId="2480A43B" w:rsidR="00667172" w:rsidRPr="00667172" w:rsidRDefault="00667172" w:rsidP="00667172">
      <w:pPr>
        <w:jc w:val="both"/>
      </w:pPr>
      <w:r w:rsidRPr="00667172">
        <w:rPr>
          <w:rFonts w:ascii="Arial" w:hAnsi="Arial" w:cs="Arial"/>
        </w:rPr>
        <w:t xml:space="preserve">Website: </w:t>
      </w:r>
      <w:hyperlink r:id="rId9" w:history="1">
        <w:r w:rsidRPr="00667172">
          <w:rPr>
            <w:rStyle w:val="Hyperlink"/>
            <w:rFonts w:ascii="Arial" w:hAnsi="Arial" w:cs="Arial"/>
          </w:rPr>
          <w:t>www.propertymark.co.uk</w:t>
        </w:r>
      </w:hyperlink>
    </w:p>
    <w:p w14:paraId="2F644C45" w14:textId="2F4C2B0D"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 xml:space="preserve"> </w:t>
      </w:r>
    </w:p>
    <w:p w14:paraId="07A8266A" w14:textId="77777777" w:rsidR="00667172" w:rsidRDefault="00667172" w:rsidP="00667172">
      <w:pPr>
        <w:ind w:left="720"/>
        <w:jc w:val="both"/>
        <w:rPr>
          <w:rFonts w:ascii="Arial" w:hAnsi="Arial" w:cs="Arial"/>
        </w:rPr>
      </w:pPr>
    </w:p>
    <w:p w14:paraId="58D668C7" w14:textId="77777777" w:rsidR="00667172" w:rsidRDefault="00667172" w:rsidP="00667172">
      <w:pPr>
        <w:jc w:val="both"/>
        <w:rPr>
          <w:rFonts w:ascii="Arial" w:hAnsi="Arial" w:cs="Arial"/>
          <w:sz w:val="20"/>
          <w:szCs w:val="20"/>
        </w:rPr>
      </w:pPr>
      <w:r>
        <w:rPr>
          <w:rFonts w:ascii="Arial" w:hAnsi="Arial" w:cs="Arial"/>
          <w:sz w:val="20"/>
          <w:szCs w:val="20"/>
        </w:rPr>
        <w:t>⃰ Time limits are targets to ensure that complaints are dealt with promptly.  However, there may be circumstances beyond our control which may mean an extended period of time is required to reply.  However, we shall strive to inform you of any such delays.</w:t>
      </w:r>
    </w:p>
    <w:p w14:paraId="56E4752B" w14:textId="76292593" w:rsidR="00667172" w:rsidRDefault="00667172" w:rsidP="0050092F">
      <w:pPr>
        <w:spacing w:after="200" w:line="276" w:lineRule="auto"/>
        <w:jc w:val="both"/>
      </w:pPr>
    </w:p>
    <w:p w14:paraId="239376CF" w14:textId="5F94E596" w:rsidR="00667172" w:rsidRDefault="00667172" w:rsidP="0050092F">
      <w:pPr>
        <w:spacing w:after="200" w:line="276" w:lineRule="auto"/>
        <w:jc w:val="both"/>
      </w:pPr>
      <w:r>
        <w:t>(August, 2021)</w:t>
      </w:r>
    </w:p>
    <w:sectPr w:rsidR="00667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22AD"/>
    <w:multiLevelType w:val="hybridMultilevel"/>
    <w:tmpl w:val="1CBCA4B2"/>
    <w:lvl w:ilvl="0" w:tplc="0882E3E4">
      <w:start w:val="70"/>
      <w:numFmt w:val="decimal"/>
      <w:lvlText w:val="%1"/>
      <w:lvlJc w:val="left"/>
      <w:pPr>
        <w:ind w:left="1080" w:hanging="360"/>
      </w:pPr>
      <w:rPr>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76B09"/>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82C84"/>
    <w:rsid w:val="004B39BA"/>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67172"/>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A4582"/>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70B7"/>
    <w:rsid w:val="00D83D8F"/>
    <w:rsid w:val="00D87278"/>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5BE9"/>
  <w15:docId w15:val="{CA14F788-D587-45DE-98F4-04737BF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UnresolvedMention">
    <w:name w:val="Unresolved Mention"/>
    <w:basedOn w:val="DefaultParagraphFont"/>
    <w:uiPriority w:val="99"/>
    <w:semiHidden/>
    <w:unhideWhenUsed/>
    <w:rsid w:val="00667172"/>
    <w:rPr>
      <w:color w:val="605E5C"/>
      <w:shd w:val="clear" w:color="auto" w:fill="E1DFDD"/>
    </w:rPr>
  </w:style>
  <w:style w:type="paragraph" w:styleId="NormalWeb">
    <w:name w:val="Normal (Web)"/>
    <w:basedOn w:val="Normal"/>
    <w:uiPriority w:val="99"/>
    <w:semiHidden/>
    <w:unhideWhenUsed/>
    <w:rsid w:val="00667172"/>
    <w:pPr>
      <w:spacing w:before="100" w:beforeAutospacing="1" w:after="100" w:afterAutospacing="1"/>
    </w:pPr>
    <w:rPr>
      <w:rFonts w:ascii="Times New Roman" w:eastAsia="Times New Roman" w:hAnsi="Times New Roman"/>
      <w:sz w:val="24"/>
      <w:szCs w:val="24"/>
      <w:lang w:eastAsia="en-GB"/>
    </w:rPr>
  </w:style>
  <w:style w:type="character" w:customStyle="1" w:styleId="lrzxr">
    <w:name w:val="lrzxr"/>
    <w:rsid w:val="0066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342635564">
      <w:bodyDiv w:val="1"/>
      <w:marLeft w:val="0"/>
      <w:marRight w:val="0"/>
      <w:marTop w:val="0"/>
      <w:marBottom w:val="0"/>
      <w:divBdr>
        <w:top w:val="none" w:sz="0" w:space="0" w:color="auto"/>
        <w:left w:val="none" w:sz="0" w:space="0" w:color="auto"/>
        <w:bottom w:val="none" w:sz="0" w:space="0" w:color="auto"/>
        <w:right w:val="none" w:sz="0" w:space="0" w:color="auto"/>
      </w:divBdr>
    </w:div>
    <w:div w:id="679427688">
      <w:bodyDiv w:val="1"/>
      <w:marLeft w:val="0"/>
      <w:marRight w:val="0"/>
      <w:marTop w:val="0"/>
      <w:marBottom w:val="0"/>
      <w:divBdr>
        <w:top w:val="none" w:sz="0" w:space="0" w:color="auto"/>
        <w:left w:val="none" w:sz="0" w:space="0" w:color="auto"/>
        <w:bottom w:val="none" w:sz="0" w:space="0" w:color="auto"/>
        <w:right w:val="none" w:sz="0" w:space="0" w:color="auto"/>
      </w:divBdr>
    </w:div>
    <w:div w:id="1051461496">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os.co.uk" TargetMode="External"/><Relationship Id="rId3" Type="http://schemas.openxmlformats.org/officeDocument/2006/relationships/settings" Target="settings.xml"/><Relationship Id="rId7" Type="http://schemas.openxmlformats.org/officeDocument/2006/relationships/hyperlink" Target="mailto:t.russell@bennettjon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shton@bennettjones.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pertyma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Tom Russell</cp:lastModifiedBy>
  <cp:revision>2</cp:revision>
  <cp:lastPrinted>2016-12-16T12:10:00Z</cp:lastPrinted>
  <dcterms:created xsi:type="dcterms:W3CDTF">2021-08-03T14:51:00Z</dcterms:created>
  <dcterms:modified xsi:type="dcterms:W3CDTF">2021-08-03T14:51:00Z</dcterms:modified>
</cp:coreProperties>
</file>